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right"/>
        <w:rPr>
          <w:rFonts w:ascii="Arial" w:cs="Arial" w:eastAsia="Arial" w:hAnsi="Arial"/>
          <w:smallCaps w:val="0"/>
          <w:u w:val="single"/>
        </w:rPr>
      </w:pPr>
      <w:r w:rsidDel="00000000" w:rsidR="00000000" w:rsidRPr="00000000">
        <w:rPr>
          <w:rFonts w:ascii="Arial" w:cs="Arial" w:eastAsia="Arial" w:hAnsi="Arial"/>
          <w:smallCaps w:val="0"/>
          <w:u w:val="single"/>
          <w:rtl w:val="0"/>
        </w:rPr>
        <w:t xml:space="preserve">Form. : Penetapan Penentuan Hari Pemeriksaan Persiapan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Rule="auto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8"/>
          <w:szCs w:val="28"/>
          <w:u w:val="single"/>
          <w:rtl w:val="0"/>
        </w:rPr>
        <w:t xml:space="preserve">P E N E T A P A N</w:t>
      </w: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Nomor #no_perkara#/PEN-PP/#tahun_satker#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="360" w:lineRule="auto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4"/>
          <w:szCs w:val="24"/>
          <w:rtl w:val="0"/>
        </w:rPr>
        <w:t xml:space="preserve">DEMI KEADILAN BERDASARKAN KETUHANAN YANG MAHA ESA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="360" w:lineRule="auto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ab/>
        <w:t xml:space="preserve">Ketua Majelis Hakim Pengadilan Tata Usaha Negara #nama_kota#, membaca : 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360" w:lineRule="auto"/>
        <w:ind w:left="709" w:right="0" w:hanging="709"/>
        <w:contextualSpacing w:val="1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Surat gugatan Penggugat tertanggal #tanggal_gugatan# yang telah didaftarkan di Kepaniteraan Pengadilan TUN #nama_kota# pada tanggal #tanggal_pendaftaran# dengan register Nomor #nomor_perkara#;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360" w:lineRule="auto"/>
        <w:ind w:left="709" w:right="0" w:hanging="709"/>
        <w:contextualSpacing w:val="1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Surat Penetapan Ketua Pengadilan TUN #nama_kota#, tentang Penunjukan Majelis Hakim tanggal #tanggal_pmh#, Nomor #no_perkara#/PEN-MH/#tahun_satker#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Dalam perkara antara :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#looping_pihak1_tun_bap#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82"/>
          <w:tab w:val="left" w:pos="1022"/>
        </w:tabs>
        <w:spacing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4"/>
          <w:szCs w:val="24"/>
          <w:u w:val="single"/>
          <w:rtl w:val="0"/>
        </w:rPr>
        <w:t xml:space="preserve">M E L A W A N</w:t>
      </w:r>
      <w:r w:rsidDel="00000000" w:rsidR="00000000" w:rsidRPr="00000000">
        <w:rPr>
          <w:rFonts w:ascii="Arial" w:cs="Arial" w:eastAsia="Arial" w:hAnsi="Arial"/>
          <w:b w:val="1"/>
          <w:smallCaps w:val="0"/>
          <w:sz w:val="24"/>
          <w:szCs w:val="24"/>
          <w:rtl w:val="0"/>
        </w:rPr>
        <w:t xml:space="preserve"> :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#looping_pihak2_tun_bap#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firstLine="397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Menimbang, bahwa oleh karena gugatan a quo telah ditetapkan untuk diperiksa dengan acara biasa dan telah ditunjuk Majelis Hakim dalam perkara tersebut, maka perlu dietapkan  hari Pemeriksaan Persiapan dalam perkara dimaksud.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="360" w:lineRule="auto"/>
        <w:ind w:firstLine="397"/>
        <w:contextualSpacing w:val="0"/>
        <w:jc w:val="both"/>
        <w:rPr>
          <w:rFonts w:ascii="Arial" w:cs="Arial" w:eastAsia="Arial" w:hAnsi="Arial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Memperhatikan : Ketentuan dari Pasal 59 ayat (3) dan (4), Pasal 63, dan Pasal 65 Undang-Undang Nomor 51 Tahun 2009 tentang Perubahan Kedua Atas Undang-Undang Nomor 5 Tahun 1986 tentang Peradilan Tata Usaha Negara</w:t>
      </w:r>
      <w:r w:rsidDel="00000000" w:rsidR="00000000" w:rsidRPr="00000000">
        <w:rPr>
          <w:rFonts w:ascii="Arial" w:cs="Arial" w:eastAsia="Arial" w:hAnsi="Arial"/>
          <w:b w:val="1"/>
          <w:smallCaps w:val="0"/>
          <w:sz w:val="24"/>
          <w:szCs w:val="24"/>
          <w:u w:val="single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4"/>
          <w:szCs w:val="24"/>
          <w:u w:val="single"/>
          <w:rtl w:val="0"/>
        </w:rPr>
        <w:t xml:space="preserve">M E N E T A P K A N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74"/>
        </w:tabs>
        <w:spacing w:line="360" w:lineRule="auto"/>
        <w:ind w:left="227" w:firstLine="0"/>
        <w:contextualSpacing w:val="0"/>
        <w:jc w:val="both"/>
        <w:rPr>
          <w:rFonts w:ascii="Arial" w:cs="Arial" w:eastAsia="Arial" w:hAnsi="Arial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09" w:right="0" w:hanging="709"/>
        <w:contextualSpacing w:val="1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Memerintahkan untuk memanggil kedua belah pihak untuk menghadap Majelis Hakim dalam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pemeriksaan persiapan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Pengadilan Tata Usaha Negara #nama_kota# yang dilaksanakan pada :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="360" w:lineRule="auto"/>
        <w:ind w:left="709" w:firstLine="0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ab/>
        <w:t xml:space="preserve">Hari</w:t>
        <w:tab/>
        <w:tab/>
        <w:tab/>
        <w:t xml:space="preserve">: #hari_panggilan_pp#</w:t>
        <w:tab/>
        <w:tab/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" w:line="360" w:lineRule="auto"/>
        <w:ind w:left="709" w:firstLine="0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ab/>
        <w:t xml:space="preserve">Tanggal</w:t>
        <w:tab/>
        <w:tab/>
        <w:t xml:space="preserve">: #tanggal_panggilan_pp#</w:t>
        <w:tab/>
        <w:tab/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" w:line="360" w:lineRule="auto"/>
        <w:ind w:left="709" w:firstLine="0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ab/>
        <w:t xml:space="preserve">Jam</w:t>
        <w:tab/>
        <w:tab/>
        <w:tab/>
        <w:t xml:space="preserve">: #jam_panggilan_pp#</w:t>
        <w:tab/>
        <w:tab/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="360" w:lineRule="auto"/>
        <w:ind w:left="709" w:hanging="851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 </w:t>
        <w:tab/>
        <w:t xml:space="preserve">Untuk meminta penjelasan kepada Tergugat dan  memperbaiki dan melengkapi gugatan Penggugat dengan data yang ddiperlukan 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09" w:right="0" w:hanging="851"/>
        <w:contextualSpacing w:val="1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Tenggang waktu untuk memanggil kedua belah pihak dengan waktu pemeriksaan persiapan paling sedikit 6 (enam) hari.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678"/>
          <w:tab w:val="right" w:pos="5812"/>
        </w:tabs>
        <w:spacing w:before="80" w:line="360" w:lineRule="auto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767"/>
        </w:tabs>
        <w:contextualSpacing w:val="0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 </w:t>
        <w:tab/>
        <w:t xml:space="preserve">Ditetapkan di  : #nama_kota#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767"/>
        </w:tabs>
        <w:contextualSpacing w:val="0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ab/>
        <w:t xml:space="preserve">Pada tanggal  : #tanggal_penetapan_pemeriksaan_persiapan#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#satker_kapital#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HAKIM KETUA MAJELIS,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4"/>
          <w:szCs w:val="24"/>
          <w:rtl w:val="0"/>
        </w:rPr>
        <w:t xml:space="preserve">#ketua_majelis#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8720" w:w="12240"/>
      <w:pgMar w:bottom="1134" w:top="1701" w:left="1701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Courier New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1080" w:hanging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800" w:hanging="18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520" w:hanging="25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∙"/>
      <w:lvlJc w:val="left"/>
      <w:pPr>
        <w:ind w:left="3240" w:hanging="32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960" w:hanging="39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680" w:hanging="46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∙"/>
      <w:lvlJc w:val="left"/>
      <w:pPr>
        <w:ind w:left="5400" w:hanging="54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6120" w:hanging="612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840" w:hanging="68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59" w:hanging="75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79" w:hanging="147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99" w:hanging="219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919" w:hanging="291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39" w:hanging="363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59" w:hanging="435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79" w:hanging="507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99" w:hanging="579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519" w:hanging="651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contextualSpacing w:val="1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